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Nová data o exekucích: Za období od ledna do září bylo zahájeno o 6,3 procent více exekučních řízení než ve stejném období loni.</w:t>
      </w:r>
    </w:p>
    <w:p w:rsidR="00000000" w:rsidDel="00000000" w:rsidP="00000000" w:rsidRDefault="00000000" w:rsidRPr="00000000" w14:paraId="00000004">
      <w:pPr>
        <w:pageBreakBefore w:val="0"/>
        <w:spacing w:after="120" w:before="0" w:lineRule="auto"/>
        <w:rPr>
          <w:b w:val="1"/>
          <w:i w:val="1"/>
          <w:color w:val="b7b7b7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Praha, 22. 10. 2021 – Dosavadní roční nárůst počtu exekucí oproti minulému roku představuje 6,3 procenta, tedy o 20 tisíc zahájených exekučních řízení více. Počty se nicméně v jednotlivých měsících značně měnily. V porovnání s květnovým přírůstkem minulého roku, který činil 27 871 exekucí, jich letos za tentýž měsíc přibylo 39 548, tedy o 42 procent více. V září naopak nové exekuce meziročně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poklesly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o 10 procent. Situace se liší v jednotlivých regionech, nejvyšší nárůst zaznamenaly Východní Čechy a Jižní Morava, v Severní Moravě naopak došlo k drobnému poklesu. Ukazují to data Ministerstva spravedlnosti z okresních soudů. Podrobnější data by měla být zveřejňovaná Exekutorskou komorou, statistiky však už téměř rok neaktualizovala.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Podle souhrnných dat </w:t>
      </w:r>
      <w:r w:rsidDel="00000000" w:rsidR="00000000" w:rsidRPr="00000000">
        <w:rPr>
          <w:sz w:val="20"/>
          <w:szCs w:val="20"/>
          <w:rtl w:val="0"/>
        </w:rPr>
        <w:t xml:space="preserve">okresních</w:t>
      </w:r>
      <w:r w:rsidDel="00000000" w:rsidR="00000000" w:rsidRPr="00000000">
        <w:rPr>
          <w:sz w:val="20"/>
          <w:szCs w:val="20"/>
          <w:rtl w:val="0"/>
        </w:rPr>
        <w:t xml:space="preserve"> soudů, které ve zveřejněných sestavách zpracovává Ministerstvo spravedlnosti, dochází od letošního jara v porovnání se stejným obdobím vloni k nárůstu nově nařízených exekucí. V lednu letošního roku počet nových exekucí klesl o 25 </w:t>
      </w:r>
      <w:r w:rsidDel="00000000" w:rsidR="00000000" w:rsidRPr="00000000">
        <w:rPr>
          <w:sz w:val="20"/>
          <w:szCs w:val="20"/>
          <w:rtl w:val="0"/>
        </w:rPr>
        <w:t xml:space="preserve">procent</w:t>
      </w:r>
      <w:r w:rsidDel="00000000" w:rsidR="00000000" w:rsidRPr="00000000">
        <w:rPr>
          <w:sz w:val="20"/>
          <w:szCs w:val="20"/>
          <w:rtl w:val="0"/>
        </w:rPr>
        <w:t xml:space="preserve">. V dubnu ale nárůst stoupl na téměř 19 procent a květen už překročil hranici 40 procent. V srpnu je pak </w:t>
      </w:r>
      <w:r w:rsidDel="00000000" w:rsidR="00000000" w:rsidRPr="00000000">
        <w:rPr>
          <w:sz w:val="20"/>
          <w:szCs w:val="20"/>
          <w:rtl w:val="0"/>
        </w:rPr>
        <w:t xml:space="preserve">23procentní</w:t>
      </w:r>
      <w:r w:rsidDel="00000000" w:rsidR="00000000" w:rsidRPr="00000000">
        <w:rPr>
          <w:sz w:val="20"/>
          <w:szCs w:val="20"/>
          <w:rtl w:val="0"/>
        </w:rPr>
        <w:t xml:space="preserve"> nárůst druhý nejvyšší v tomto roce. V září zase počet nových exekucí klesl o 10 procent. </w:t>
      </w:r>
    </w:p>
    <w:p w:rsidR="00000000" w:rsidDel="00000000" w:rsidP="00000000" w:rsidRDefault="00000000" w:rsidRPr="00000000" w14:paraId="00000006">
      <w:pPr>
        <w:pageBreakBefore w:val="0"/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celé období od ledna do září byla novými exekucemi nejvíce postižena oblast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východních Čech. Tam 30 497 nových nařízení oproti loňským 26 395 představuje nárůst 15,5 procent. Na Severní Moravě naopak změna z loňských 55 452 exekucí na letošních 55 039 představuje pokles 0,7 procent. V oblasti jižních Čech jde o nárůst 14,4 %, na  jižní Moravě 14,1 %, v západních Čechách 11,5 %, ve středních Čechách 7,6 %.Nejnižší nárůsty pak připadají severním Čechám se 2 % a Praze s 0,6 %.</w:t>
      </w:r>
    </w:p>
    <w:p w:rsidR="00000000" w:rsidDel="00000000" w:rsidP="00000000" w:rsidRDefault="00000000" w:rsidRPr="00000000" w14:paraId="00000007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“Z dostupných údajů zatím nelze fakticky vyčíst, jestli meziroční změny v počtu nově zahájených exekucí mají vliv i na počet nových osob v exekuci nebo se jedná o růst exekucí vůči stávajícím dlužníkům,”</w:t>
      </w:r>
      <w:r w:rsidDel="00000000" w:rsidR="00000000" w:rsidRPr="00000000">
        <w:rPr>
          <w:sz w:val="20"/>
          <w:szCs w:val="20"/>
          <w:rtl w:val="0"/>
        </w:rPr>
        <w:t xml:space="preserve"> komentuje data </w:t>
      </w:r>
      <w:r w:rsidDel="00000000" w:rsidR="00000000" w:rsidRPr="00000000">
        <w:rPr>
          <w:sz w:val="20"/>
          <w:szCs w:val="20"/>
          <w:rtl w:val="0"/>
        </w:rPr>
        <w:t xml:space="preserve">Radek Hábl, šéf Institutu prevence a řešení předlužení.</w:t>
      </w:r>
      <w:r w:rsidDel="00000000" w:rsidR="00000000" w:rsidRPr="00000000">
        <w:rPr>
          <w:sz w:val="20"/>
          <w:szCs w:val="20"/>
          <w:rtl w:val="0"/>
        </w:rPr>
        <w:t xml:space="preserve"> Autor Mapy exekucí a jeden ze zástupců Platformy za reformu exekucí dodává, že podrobnější údaje by měla pravidelně zveřejňovat Exekutorská komora ČR, už to bude ale téměř rok, co statistiky naposledy aktualizovala. </w:t>
      </w:r>
      <w:r w:rsidDel="00000000" w:rsidR="00000000" w:rsidRPr="00000000">
        <w:rPr>
          <w:sz w:val="20"/>
          <w:szCs w:val="20"/>
          <w:rtl w:val="0"/>
        </w:rPr>
        <w:t xml:space="preserve">Některé statistiky jsou pak ještě </w:t>
      </w:r>
      <w:r w:rsidDel="00000000" w:rsidR="00000000" w:rsidRPr="00000000">
        <w:rPr>
          <w:sz w:val="20"/>
          <w:szCs w:val="20"/>
          <w:rtl w:val="0"/>
        </w:rPr>
        <w:t xml:space="preserve">starší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Pravidelné a častější publikace dat by měla zajistit novela exekučního řádu, která byla poslanci schválena v červenci letošního roku. Na základě schváleného pozměňovacího návrhu Lukáše Kolaříka (Piráti) bude Exekutorská komora od 1.1. 2022 povinna jednou za čtvrt roku bezplatně poskytnout statistická data z centrální evidence exekucí ve formě otevřených dat. “</w:t>
      </w:r>
      <w:r w:rsidDel="00000000" w:rsidR="00000000" w:rsidRPr="00000000">
        <w:rPr>
          <w:sz w:val="20"/>
          <w:szCs w:val="20"/>
          <w:rtl w:val="0"/>
        </w:rPr>
        <w:t xml:space="preserve">Poslaneckou sněmovnou bohužel neprošel návrh Jana Farského na přenesení vedení, provozu a správy Centrální evidence exekucí z Exekutorské komory na Ministerstvo spravedlnosti. Návrh by umožnil státu získat vyšší kontrolu nad daty o exekucích, stejně jako by </w:t>
      </w:r>
      <w:r w:rsidDel="00000000" w:rsidR="00000000" w:rsidRPr="00000000">
        <w:rPr>
          <w:sz w:val="20"/>
          <w:szCs w:val="20"/>
          <w:rtl w:val="0"/>
        </w:rPr>
        <w:t xml:space="preserve">povinným</w:t>
      </w:r>
      <w:r w:rsidDel="00000000" w:rsidR="00000000" w:rsidRPr="00000000">
        <w:rPr>
          <w:sz w:val="20"/>
          <w:szCs w:val="20"/>
          <w:rtl w:val="0"/>
        </w:rPr>
        <w:t xml:space="preserve"> usnadnil přístup k potřebným informacím. Současně by odstranil obchodování s přístupy do CEE. Prosazení tohoto návrhu tak zůstává úkolem pro budoucí vládu,” </w:t>
      </w:r>
      <w:r w:rsidDel="00000000" w:rsidR="00000000" w:rsidRPr="00000000">
        <w:rPr>
          <w:sz w:val="20"/>
          <w:szCs w:val="20"/>
          <w:rtl w:val="0"/>
        </w:rPr>
        <w:t xml:space="preserve">dodává Hábl. </w:t>
      </w:r>
    </w:p>
    <w:p w:rsidR="00000000" w:rsidDel="00000000" w:rsidP="00000000" w:rsidRDefault="00000000" w:rsidRPr="00000000" w14:paraId="00000009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pro média: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Lucie Nemešová</w:t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rPr>
          <w:b w:val="1"/>
          <w:sz w:val="20"/>
          <w:szCs w:val="20"/>
        </w:rPr>
      </w:pP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lucie@institut-predluzeni.cz</w:t>
        </w:r>
      </w:hyperlink>
      <w:r w:rsidDel="00000000" w:rsidR="00000000" w:rsidRPr="00000000">
        <w:fldChar w:fldCharType="begin"/>
        <w:instrText xml:space="preserve"> HYPERLINK "mailto:lucie@institut-predluzeni.cz"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20" w:before="0" w:lineRule="auto"/>
        <w:rPr>
          <w:b w:val="1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0"/>
          <w:szCs w:val="20"/>
          <w:rtl w:val="0"/>
        </w:rPr>
        <w:t xml:space="preserve">602 325 029</w:t>
      </w:r>
    </w:p>
    <w:p w:rsidR="00000000" w:rsidDel="00000000" w:rsidP="00000000" w:rsidRDefault="00000000" w:rsidRPr="00000000" w14:paraId="0000000E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 prevence a řešení předlužení</w:t>
      </w:r>
      <w:r w:rsidDel="00000000" w:rsidR="00000000" w:rsidRPr="00000000">
        <w:rPr>
          <w:sz w:val="20"/>
          <w:szCs w:val="20"/>
          <w:rtl w:val="0"/>
        </w:rPr>
        <w:t xml:space="preserve"> je nezávislý think-tank, který se zaměřuje na problematiku zadluženosti domácností, exekucí a osobních bankrotů. Jeho cílem je kultivace českého systému vymáhání pohledávek a nastavení takových podmínek, které by zamezily nemravnému obchodu s dluhy. Poukazuje na problematické oblasti i problematické subjekty. Přináší podrobná data, výzkumy a analýzy. Spolupracuje se zaměstnavateli i dalšími organizacemi, které se této problematice dlouhodobě věnují. Institut byl založen v roce 2019. Více na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institut-predluzeni.cz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62113" cy="5114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113" cy="5114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lucie@institut-predluzeni.cz" TargetMode="External"/><Relationship Id="rId7" Type="http://schemas.openxmlformats.org/officeDocument/2006/relationships/hyperlink" Target="http://institut-predluzeni.cz" TargetMode="External"/><Relationship Id="rId8" Type="http://schemas.openxmlformats.org/officeDocument/2006/relationships/hyperlink" Target="http://institut-predluzeni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