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Tisková zpráva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2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Nová data o exekucích: Počet </w:t>
      </w:r>
      <w:r w:rsidDel="00000000" w:rsidR="00000000" w:rsidRPr="00000000">
        <w:rPr>
          <w:b w:val="1"/>
          <w:rtl w:val="0"/>
        </w:rPr>
        <w:t xml:space="preserve">nově zahájených exekučních řízení loni vzrostl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20" w:before="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Praha, 31. 1. 2022 – 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3c4043"/>
          <w:sz w:val="21"/>
          <w:szCs w:val="21"/>
          <w:highlight w:val="white"/>
          <w:rtl w:val="0"/>
        </w:rPr>
        <w:t xml:space="preserve">V loňském roce bylo oproti roku 2020 zahájeno o 28 tisíc exekučních řízení více, což představuje meziroční nárůst 6,8 procenta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. K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nárůstu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došlo v celé České republice s výjimkou oblasti severní Moravy, kde došlo k poklesu o 0,3 procenta. Ukazují to data Ministerstva spravedlnosti z okresních soudů. Přestože došlo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 k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meziročnímu poklesu počtu osob v exekuci, exekucí celkově přibylo. Znamená to, že oproti roku 2020 vzrostl i průměrný počet exekucí na osobu ze 6 na 6,4.</w:t>
      </w:r>
    </w:p>
    <w:p w:rsidR="00000000" w:rsidDel="00000000" w:rsidP="00000000" w:rsidRDefault="00000000" w:rsidRPr="00000000" w14:paraId="00000005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Podle souhrnných dat okresních soudů, které ve zveřejněných sestavách zpracovává Ministerstvo spravedlnosti, docházelo od loňského jara v porovnání se stejným obdobím v roce 2020 k nárůstu nových exekucí. V září a říjnu došlo v obou měsících k </w:t>
      </w:r>
      <w:r w:rsidDel="00000000" w:rsidR="00000000" w:rsidRPr="00000000">
        <w:rPr>
          <w:sz w:val="20"/>
          <w:szCs w:val="20"/>
          <w:rtl w:val="0"/>
        </w:rPr>
        <w:t xml:space="preserve">10procentnímu</w:t>
      </w:r>
      <w:r w:rsidDel="00000000" w:rsidR="00000000" w:rsidRPr="00000000">
        <w:rPr>
          <w:sz w:val="20"/>
          <w:szCs w:val="20"/>
          <w:rtl w:val="0"/>
        </w:rPr>
        <w:t xml:space="preserve"> poklesu, od listopadu se ale nárůst opět vrátil a v prosinci představoval meziroční růst 23 %. Celkově bylo za rok 2021 zahájeno  445 618 exekucí, v roce 2020 šlo o 417 301 exekucí.</w:t>
      </w:r>
    </w:p>
    <w:p w:rsidR="00000000" w:rsidDel="00000000" w:rsidP="00000000" w:rsidRDefault="00000000" w:rsidRPr="00000000" w14:paraId="00000006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 loňský rok zaznamenala nejvyšší procentní nárůst oblast východních Čech</w:t>
      </w:r>
      <w:r w:rsidDel="00000000" w:rsidR="00000000" w:rsidRPr="00000000">
        <w:rPr>
          <w:sz w:val="20"/>
          <w:szCs w:val="20"/>
          <w:rtl w:val="0"/>
        </w:rPr>
        <w:t xml:space="preserve">. Tam 41 810 nových řízení oproti 36 099 v roce 2020 představuje nárůst 15,8 procent. Na severní Moravě naopak změna z předloňských 73 485 exekucí na loňských 73 230 představuje pokles 0,3 procenta. V oblasti jižních Čech jde o nárůst 12,8 %, na jižní Moravě 11,1 %, v západních Čechách 9,6 %, ve středních Čechách 8 %. Nejnižší nárůsty pak připadají severním Čechám s 5,3 % a Praze s 2,7 %.</w:t>
      </w:r>
    </w:p>
    <w:p w:rsidR="00000000" w:rsidDel="00000000" w:rsidP="00000000" w:rsidRDefault="00000000" w:rsidRPr="00000000" w14:paraId="00000007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Už před rokem experti upozorňovali, že následky koronavirové krize se na exekucích teprve ukáží. Uvedená čísla naznačují, že k tomu začíná pomalu docházet, myslí si experti. Přestože meziročně </w:t>
      </w:r>
      <w:r w:rsidDel="00000000" w:rsidR="00000000" w:rsidRPr="00000000">
        <w:rPr>
          <w:sz w:val="20"/>
          <w:szCs w:val="20"/>
          <w:rtl w:val="0"/>
        </w:rPr>
        <w:t xml:space="preserve">poklesl</w:t>
      </w:r>
      <w:r w:rsidDel="00000000" w:rsidR="00000000" w:rsidRPr="00000000">
        <w:rPr>
          <w:sz w:val="20"/>
          <w:szCs w:val="20"/>
          <w:rtl w:val="0"/>
        </w:rPr>
        <w:t xml:space="preserve"> počet lidí v exekuci o osm tisíc, celkový počet exekučních řízení se však z 4,33 milionu vyšplhal na 4,58 milionu. Také počet osob, které mají deset a více exekucí najednou, se zvýšil ze 157 tisíc na 168 tisíc. </w:t>
      </w:r>
      <w:r w:rsidDel="00000000" w:rsidR="00000000" w:rsidRPr="00000000">
        <w:rPr>
          <w:i w:val="1"/>
          <w:sz w:val="20"/>
          <w:szCs w:val="20"/>
          <w:rtl w:val="0"/>
        </w:rPr>
        <w:t xml:space="preserve">„Znamená to, že lidé, kteří už dříve měli potíže splácet, se do dluhových pastí dostávají ještě hlouběji,“ </w:t>
      </w:r>
      <w:r w:rsidDel="00000000" w:rsidR="00000000" w:rsidRPr="00000000">
        <w:rPr>
          <w:sz w:val="20"/>
          <w:szCs w:val="20"/>
          <w:rtl w:val="0"/>
        </w:rPr>
        <w:t xml:space="preserve">komentuje za Institut prevence a řešení předlužení Radek Hábl. </w:t>
      </w:r>
    </w:p>
    <w:p w:rsidR="00000000" w:rsidDel="00000000" w:rsidP="00000000" w:rsidRDefault="00000000" w:rsidRPr="00000000" w14:paraId="00000008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souvislosti s energetickou krizí, vysokou inflací a rostoucími úrokovými sazbami, které výrazně zdraží i stávající hypotéky, je podle Hábla důležité rychle přijmout opatření, která negativní dopady zmírní. Jedná se například o zjednodušení administrativy u nároku na příspěvek na bydlení a mimořádné okamžité pomoci nebo zohlednění exekučních srážek při výpočtu nároku na sociální podporu. K řešení podle něj </w:t>
      </w:r>
      <w:r w:rsidDel="00000000" w:rsidR="00000000" w:rsidRPr="00000000">
        <w:rPr>
          <w:sz w:val="20"/>
          <w:szCs w:val="20"/>
          <w:rtl w:val="0"/>
        </w:rPr>
        <w:t xml:space="preserve">přispěje</w:t>
      </w:r>
      <w:r w:rsidDel="00000000" w:rsidR="00000000" w:rsidRPr="00000000">
        <w:rPr>
          <w:sz w:val="20"/>
          <w:szCs w:val="20"/>
          <w:rtl w:val="0"/>
        </w:rPr>
        <w:t xml:space="preserve"> i odstranění bariér vstupu do procesu oddlužení a přijetí evropské směrnice, která zkrátí dobu oddlužení na tři roky. </w:t>
      </w:r>
      <w:r w:rsidDel="00000000" w:rsidR="00000000" w:rsidRPr="00000000">
        <w:rPr>
          <w:i w:val="1"/>
          <w:sz w:val="20"/>
          <w:szCs w:val="20"/>
          <w:rtl w:val="0"/>
        </w:rPr>
        <w:t xml:space="preserve">„Vysoký počet osob v exekucích má dalekosáhlé ekonomické a sociální dopady. Čím dříve dostaneme tyto lidi z pastí exekucí, tím dříve maximalizujeme jejich ekonomický potenciál a to prospěje ve výsledku celé společnosti,“ </w:t>
      </w:r>
      <w:r w:rsidDel="00000000" w:rsidR="00000000" w:rsidRPr="00000000">
        <w:rPr>
          <w:sz w:val="20"/>
          <w:szCs w:val="20"/>
          <w:rtl w:val="0"/>
        </w:rPr>
        <w:t xml:space="preserve">říká Hábl a dodává, že ke zlepšení situace by přispělo i</w:t>
      </w:r>
      <w:r w:rsidDel="00000000" w:rsidR="00000000" w:rsidRPr="00000000">
        <w:rPr>
          <w:sz w:val="20"/>
          <w:szCs w:val="20"/>
          <w:rtl w:val="0"/>
        </w:rPr>
        <w:t xml:space="preserve"> zavedení principu jeden dlužník – jeden exekuto</w:t>
      </w:r>
      <w:r w:rsidDel="00000000" w:rsidR="00000000" w:rsidRPr="00000000">
        <w:rPr>
          <w:sz w:val="20"/>
          <w:szCs w:val="20"/>
          <w:rtl w:val="0"/>
        </w:rPr>
        <w:t xml:space="preserve">r, čímž by se výrazně snížily náklady exekučních řízení.</w:t>
      </w:r>
    </w:p>
    <w:p w:rsidR="00000000" w:rsidDel="00000000" w:rsidP="00000000" w:rsidRDefault="00000000" w:rsidRPr="00000000" w14:paraId="00000009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0B">
      <w:pPr>
        <w:pageBreakBefore w:val="0"/>
        <w:spacing w:after="0" w:before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pro média:</w:t>
      </w:r>
    </w:p>
    <w:p w:rsidR="00000000" w:rsidDel="00000000" w:rsidP="00000000" w:rsidRDefault="00000000" w:rsidRPr="00000000" w14:paraId="0000000C">
      <w:pPr>
        <w:pageBreakBefore w:val="0"/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Filip Stowasser</w:t>
      </w:r>
    </w:p>
    <w:p w:rsidR="00000000" w:rsidDel="00000000" w:rsidP="00000000" w:rsidRDefault="00000000" w:rsidRPr="00000000" w14:paraId="0000000D">
      <w:pPr>
        <w:pageBreakBefore w:val="0"/>
        <w:spacing w:after="0" w:before="0" w:lineRule="auto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filip@storyhnters.cz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fldChar w:fldCharType="begin"/>
        <w:instrText xml:space="preserve"> HYPERLINK "mailto:lucie@institut-predluzeni.cz"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777 258 802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 prevence a řešení předlužení</w:t>
      </w:r>
      <w:r w:rsidDel="00000000" w:rsidR="00000000" w:rsidRPr="00000000">
        <w:rPr>
          <w:sz w:val="20"/>
          <w:szCs w:val="20"/>
          <w:rtl w:val="0"/>
        </w:rPr>
        <w:t xml:space="preserve"> je nezávislý think-tank, který se zaměřuje na problematiku zadluženosti domácností, exekucí a osobních bankrotů. Jeho cílem je kultivace českého systému vymáhání pohledávek a nastavení takových podmínek, které by zamezily nemravnému obchodu s dluhy. Poukazuje na problematické oblasti i problematické subjekty. Přináší podrobná data, výzkumy analýzy. Spolupracuje se zaměstnavateli i dalšími organizacemi, které se této problematice dlouhodobě věnují. Institut byl založen v roce 2019. Více na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institut-predluzeni.cz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ageBreakBefore w:val="0"/>
        <w:spacing w:after="12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662113" cy="51141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2113" cy="5114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filip@storyhnters.cz" TargetMode="External"/><Relationship Id="rId7" Type="http://schemas.openxmlformats.org/officeDocument/2006/relationships/hyperlink" Target="http://institut-predluzeni.cz" TargetMode="External"/><Relationship Id="rId8" Type="http://schemas.openxmlformats.org/officeDocument/2006/relationships/hyperlink" Target="http://institut-predluzeni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