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Výzkum</w:t>
      </w:r>
      <w:r w:rsidDel="00000000" w:rsidR="00000000" w:rsidRPr="00000000">
        <w:rPr>
          <w:b w:val="1"/>
          <w:rtl w:val="0"/>
        </w:rPr>
        <w:t xml:space="preserve">: Vysoké ceny energií nejsou výlučným problémem obyvatel s nízkými příjmy. S potížemi se potýká už </w:t>
      </w:r>
      <w:r w:rsidDel="00000000" w:rsidR="00000000" w:rsidRPr="00000000">
        <w:rPr>
          <w:b w:val="1"/>
          <w:rtl w:val="0"/>
        </w:rPr>
        <w:t xml:space="preserve">polovina</w:t>
      </w:r>
      <w:r w:rsidDel="00000000" w:rsidR="00000000" w:rsidRPr="00000000">
        <w:rPr>
          <w:b w:val="1"/>
          <w:rtl w:val="0"/>
        </w:rPr>
        <w:t xml:space="preserve"> domácností České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0" w:line="276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Praha, 3. 6. 2022 – Zvyšování cen energií od loňského podzimu způsobilo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finanční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potíže u 53 procent českých domácností. Problémy se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netýkají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pouze domácností pod hranicí chudoby, ale značně zasahují i střední třídu. Polovina obyvatel si zároveň nehlídá svou energetickou spotřebu. Vysoké nedoplatky na konci roku tak představují téměř jisté riziko nepříjemného překvapení. Vyplývá to z výzkumu, který si v reakci na energetickou krizi nechal u výzkumné organizace PAQ Research zpracovat Institut prevence a řešení předlužení. Výzkum navazuje na projekt Českého rozhlasu “Život k nezaplacení”, zaměřený na ekonomický vývoj domácností.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Na výsledky výzkumu Institut reaguje konkrétními doporučeními, které mají pomoci důsledky energetické krize zmírnit.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Už od minulého roku je energetická krize celosvětovým tématem a odhady, podle kterých se má situace ještě postupně zhoršovat, se naplňují. Pád Bohemia Energy a dalších 18 dodavatelů energií poukázal mimo jiné na fakt, že nezanedbatelná část domácností není připravena na takové výkyvy ve spotřebitelských cenách energií. Podle loňského výzkumu agentury NMS pro Raiffeisenbank </w:t>
      </w:r>
      <w:r w:rsidDel="00000000" w:rsidR="00000000" w:rsidRPr="00000000">
        <w:rPr>
          <w:sz w:val="20"/>
          <w:szCs w:val="20"/>
          <w:rtl w:val="0"/>
        </w:rPr>
        <w:t xml:space="preserve">má 40 procent </w:t>
      </w:r>
      <w:r w:rsidDel="00000000" w:rsidR="00000000" w:rsidRPr="00000000">
        <w:rPr>
          <w:sz w:val="20"/>
          <w:szCs w:val="20"/>
          <w:rtl w:val="0"/>
        </w:rPr>
        <w:t xml:space="preserve">domácností úspory maximálně ve výši jednoho platu.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„Abychom na energetickou krizi mohli účinně a cíleně reagovat a</w:t>
      </w:r>
      <w:r w:rsidDel="00000000" w:rsidR="00000000" w:rsidRPr="00000000">
        <w:rPr>
          <w:i w:val="1"/>
          <w:sz w:val="20"/>
          <w:szCs w:val="20"/>
          <w:rtl w:val="0"/>
        </w:rPr>
        <w:t xml:space="preserve"> vyhnuli se situaci, kdy se počty lidí v exekuci vrátí na hranici jednoho milionu</w:t>
      </w:r>
      <w:r w:rsidDel="00000000" w:rsidR="00000000" w:rsidRPr="00000000">
        <w:rPr>
          <w:i w:val="1"/>
          <w:sz w:val="20"/>
          <w:szCs w:val="20"/>
          <w:rtl w:val="0"/>
        </w:rPr>
        <w:t xml:space="preserve">, bylo třeba zjistit detaily ohledně chování domácností v souvislosti se strmým růstem cen energií. Data výzkumu ukazují, že se situace dotýká už většiny lidí. A situace se bude ještě zhoršovat, až se projeví další zvýšení cen,” </w:t>
      </w:r>
      <w:r w:rsidDel="00000000" w:rsidR="00000000" w:rsidRPr="00000000">
        <w:rPr>
          <w:sz w:val="20"/>
          <w:szCs w:val="20"/>
          <w:rtl w:val="0"/>
        </w:rPr>
        <w:t xml:space="preserve">upozorňuje ředitel Institutu prevence a řešení předlužení, Radek Hábl.</w:t>
      </w:r>
    </w:p>
    <w:p w:rsidR="00000000" w:rsidDel="00000000" w:rsidP="00000000" w:rsidRDefault="00000000" w:rsidRPr="00000000" w14:paraId="00000004">
      <w:pPr>
        <w:spacing w:after="120" w:before="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Polovina českých domácností je ve finančních problémech kvůli růstu cen energií. Polovina si ovšem také nehlídá svou spotřebu</w:t>
      </w:r>
    </w:p>
    <w:p w:rsidR="00000000" w:rsidDel="00000000" w:rsidP="00000000" w:rsidRDefault="00000000" w:rsidRPr="00000000" w14:paraId="00000005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 výzkumu vyplývá, že s navýšením cen energií zaznamenalo finanční potíže už 53 procent domácností. Velké potíže se objevily u 4 procent lidí, 12 procent deklaruje střední potíže a dalších 36 procent přiznává menší potíže. Domácnosti v příjmové chudobě mají kvůli energiím problémy v 90 procentech případů, u nízkopříjmových domácností zaznamenává potíže celkem 72 procent. Finanční komplikace spojené s rostoucími výdaji za energie se však týkají už i nadstandardně příjmových obyvatel. U nich určité potíže přiznává 50 procent domácností.</w:t>
      </w:r>
    </w:p>
    <w:p w:rsidR="00000000" w:rsidDel="00000000" w:rsidP="00000000" w:rsidRDefault="00000000" w:rsidRPr="00000000" w14:paraId="00000006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Výzkum dále zjišťoval, jak lidé na zvyšující se ceny energií reagují a zdali si hlídají vlastní spotřebu a k ní úměrné zálohy. K pravidelnému měsíčnímu sledování své spotřeby se přihlásilo 19 procent domácností a 12 procent se snaží spotřebu sledovat jednou za čtvrt roku. Patří mezi ně zejména obyvatelé žijící ve vlastní nemovitosti. Podle výzkumu si 51 procent domácností průběžnou spotřebu energií nezjišťuje a čeká až na vyúčtování na konci roku. Do této skupiny patří zejména lidé s příjmy nad medián a také lidé žijící v nájmu, podnájmu či v družstevním bytě.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„Ukázalo se, že pět milionů lidí v ČR nemá přehled o své průběžné energetické spotřebě v domácnosti. Lze tedy předpokládat, že </w:t>
      </w:r>
      <w:r w:rsidDel="00000000" w:rsidR="00000000" w:rsidRPr="00000000">
        <w:rPr>
          <w:i w:val="1"/>
          <w:sz w:val="20"/>
          <w:szCs w:val="20"/>
          <w:rtl w:val="0"/>
        </w:rPr>
        <w:t xml:space="preserve">pokud růst cen nereflektují zvýšením svých měsíčních záloh, </w:t>
      </w:r>
      <w:r w:rsidDel="00000000" w:rsidR="00000000" w:rsidRPr="00000000">
        <w:rPr>
          <w:i w:val="1"/>
          <w:sz w:val="20"/>
          <w:szCs w:val="20"/>
          <w:rtl w:val="0"/>
        </w:rPr>
        <w:t xml:space="preserve">téměř jistě je při ročním vyúčtování čeká kvůli mimořádně vysokým nedoplatkům šok,” </w:t>
      </w:r>
      <w:r w:rsidDel="00000000" w:rsidR="00000000" w:rsidRPr="00000000">
        <w:rPr>
          <w:sz w:val="20"/>
          <w:szCs w:val="20"/>
          <w:rtl w:val="0"/>
        </w:rPr>
        <w:t xml:space="preserve">upozorňuje Radek Hábl.</w:t>
      </w:r>
    </w:p>
    <w:p w:rsidR="00000000" w:rsidDel="00000000" w:rsidP="00000000" w:rsidRDefault="00000000" w:rsidRPr="00000000" w14:paraId="00000007">
      <w:pPr>
        <w:spacing w:after="120" w:before="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Lepší přehled o spotřebě = </w:t>
      </w:r>
      <w:r w:rsidDel="00000000" w:rsidR="00000000" w:rsidRPr="00000000">
        <w:rPr>
          <w:b w:val="1"/>
          <w:sz w:val="20"/>
          <w:szCs w:val="20"/>
          <w:rtl w:val="0"/>
        </w:rPr>
        <w:t xml:space="preserve">její</w:t>
      </w:r>
      <w:r w:rsidDel="00000000" w:rsidR="00000000" w:rsidRPr="00000000">
        <w:rPr>
          <w:b w:val="1"/>
          <w:sz w:val="20"/>
          <w:szCs w:val="20"/>
          <w:rtl w:val="0"/>
        </w:rPr>
        <w:t xml:space="preserve"> lepší regulace</w:t>
      </w:r>
    </w:p>
    <w:p w:rsidR="00000000" w:rsidDel="00000000" w:rsidP="00000000" w:rsidRDefault="00000000" w:rsidRPr="00000000" w14:paraId="00000008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Mezi důležitá zjištění výzkumu patří, že pokud by lidé znali svou průběžnou spotřebu v korunách  namísto jen v kWh, dokázali by svou spotřebu lépe regulovat. Konkrétně 60 procent dotázaných domácností deklarovalo, že pokud by v měsíčních intervalech měly dostatečné informace o tom, kolik přesně utratily, dokázaly by svou spotřebu efektivněji řídit či se v ní omezit. Jedna čtvrtina si pak myslí, že </w:t>
      </w:r>
      <w:r w:rsidDel="00000000" w:rsidR="00000000" w:rsidRPr="00000000">
        <w:rPr>
          <w:sz w:val="20"/>
          <w:szCs w:val="20"/>
          <w:rtl w:val="0"/>
        </w:rPr>
        <w:t xml:space="preserve">i s</w:t>
      </w:r>
      <w:r w:rsidDel="00000000" w:rsidR="00000000" w:rsidRPr="00000000">
        <w:rPr>
          <w:sz w:val="20"/>
          <w:szCs w:val="20"/>
          <w:rtl w:val="0"/>
        </w:rPr>
        <w:t xml:space="preserve"> měsíčními přesnými finančními údaji o své spotřebě, by ji nijak neomezily. </w:t>
      </w:r>
    </w:p>
    <w:p w:rsidR="00000000" w:rsidDel="00000000" w:rsidP="00000000" w:rsidRDefault="00000000" w:rsidRPr="00000000" w14:paraId="00000009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Někteří dodavatelé energií svým zákazníkům možnost zobrazení spotřeby v korunách již nabízejí. Přestože zákazníci musejí tyto údaje zjišťovat manuálně z vlastní iniciativy, tento nástroj, který podle výzkumu může pomoci kontrolovat a snižovat spotřebu, není přitom takovou výjimkou. Nabízí ho například ČEZ či EON a Nano Energy ho pro své zákazníky připravuje. Chytré měřáky, které s pomocí aplikace ukazují spotřebu energií v korunách, již existují, má je ale jen zlomek domácností.</w:t>
      </w:r>
      <w:r w:rsidDel="00000000" w:rsidR="00000000" w:rsidRPr="00000000">
        <w:rPr>
          <w:i w:val="1"/>
          <w:sz w:val="20"/>
          <w:szCs w:val="20"/>
          <w:rtl w:val="0"/>
        </w:rPr>
        <w:t xml:space="preserve"> „Přestože se budou chytré měřáky ze zákona povinně instalovat od roku 2024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 domácnosti s větší spotřebou </w:t>
      </w:r>
      <w:r w:rsidDel="00000000" w:rsidR="00000000" w:rsidRPr="00000000">
        <w:rPr>
          <w:i w:val="1"/>
          <w:sz w:val="20"/>
          <w:szCs w:val="20"/>
          <w:rtl w:val="0"/>
        </w:rPr>
        <w:t xml:space="preserve">(resp. od roku 2027 pro ty s menší spotřebou), rozhodně by měl stát motivovat k rychlejší instalaci. Přesné a průběžné povědomí o našich nákladech za spotřebu energií se ukázalo jako klíčové pro její lepší regulaci,” </w:t>
      </w:r>
      <w:r w:rsidDel="00000000" w:rsidR="00000000" w:rsidRPr="00000000">
        <w:rPr>
          <w:sz w:val="20"/>
          <w:szCs w:val="20"/>
          <w:rtl w:val="0"/>
        </w:rPr>
        <w:t xml:space="preserve">apeluje Radek Hábl.</w:t>
      </w:r>
    </w:p>
    <w:p w:rsidR="00000000" w:rsidDel="00000000" w:rsidP="00000000" w:rsidRDefault="00000000" w:rsidRPr="00000000" w14:paraId="0000000A">
      <w:pPr>
        <w:spacing w:after="120" w:before="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 pro zmírnění následků energetické krize může dělat stát, dodavatelé energií i samotné domácnosti?</w:t>
      </w:r>
    </w:p>
    <w:p w:rsidR="00000000" w:rsidDel="00000000" w:rsidP="00000000" w:rsidRDefault="00000000" w:rsidRPr="00000000" w14:paraId="0000000B">
      <w:pPr>
        <w:spacing w:after="120" w:before="0"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 prevence a řešení předlužení na začátku letošního roku informoval o meziročním nárůstu nově zahájených exekucí a v této zprávě avizoval chystaná doporučení, která mají zmírnit </w:t>
      </w:r>
      <w:r w:rsidDel="00000000" w:rsidR="00000000" w:rsidRPr="00000000">
        <w:rPr>
          <w:sz w:val="20"/>
          <w:szCs w:val="20"/>
          <w:rtl w:val="0"/>
        </w:rPr>
        <w:t xml:space="preserve">následky</w:t>
      </w:r>
      <w:r w:rsidDel="00000000" w:rsidR="00000000" w:rsidRPr="00000000">
        <w:rPr>
          <w:sz w:val="20"/>
          <w:szCs w:val="20"/>
          <w:rtl w:val="0"/>
        </w:rPr>
        <w:t xml:space="preserve"> energetické krize, rostoucí inflace i počtu nových exekucí.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Podle Radka Hábla začala vláda na energetickou krizi reagovat správně, ale vzhledem k rostoucímu rozsahu problému v tuto chvíli nedostatečně.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„Je třeba dále zvýšit normativy na bydlení a životní minimum, které aktuálně neodpovídají míře inflace a růstu cen energií. Dále je třeba zavést sociální tarif pro zranitelné skupiny, motivovat domácnosti ke snížení spotřeby, urychleně zjednodušit žádosti o příspěvek na bydlení a rozšířit místa, kde ji lze podat. Úřady práce, které příspěvky na bydlení doposud vydávají, jsou totiž jako místo stigmatizovány,” </w:t>
      </w:r>
      <w:r w:rsidDel="00000000" w:rsidR="00000000" w:rsidRPr="00000000">
        <w:rPr>
          <w:sz w:val="20"/>
          <w:szCs w:val="20"/>
          <w:rtl w:val="0"/>
        </w:rPr>
        <w:t xml:space="preserve">vysvětluje Radek Hábl. Mezi další doporučení pro stát pak uvádí větší důraz na dlouhodobá řešení, zejména vyšší podporu přechodu na obnovitelné zdroje u domácností a podporu komunitní energetiky.</w:t>
      </w:r>
    </w:p>
    <w:p w:rsidR="00000000" w:rsidDel="00000000" w:rsidP="00000000" w:rsidRDefault="00000000" w:rsidRPr="00000000" w14:paraId="0000000D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Dodavatelé energií by se </w:t>
      </w:r>
      <w:r w:rsidDel="00000000" w:rsidR="00000000" w:rsidRPr="00000000">
        <w:rPr>
          <w:sz w:val="20"/>
          <w:szCs w:val="20"/>
          <w:rtl w:val="0"/>
        </w:rPr>
        <w:t xml:space="preserve">měl</w:t>
      </w:r>
      <w:r w:rsidDel="00000000" w:rsidR="00000000" w:rsidRPr="00000000">
        <w:rPr>
          <w:sz w:val="20"/>
          <w:szCs w:val="20"/>
          <w:rtl w:val="0"/>
        </w:rPr>
        <w:t xml:space="preserve">i zaměřit na minimalizaci ročních nedoplatků svých zákazníků a být více proaktivní vůči svým zákazníkům.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„Z výzkumu vyplynulo, že polovina všech domácností průběžně nekontroluje svou spotřebu. Dodavatelé energií by tak měli své </w:t>
      </w:r>
      <w:r w:rsidDel="00000000" w:rsidR="00000000" w:rsidRPr="00000000">
        <w:rPr>
          <w:i w:val="1"/>
          <w:sz w:val="20"/>
          <w:szCs w:val="20"/>
          <w:rtl w:val="0"/>
        </w:rPr>
        <w:t xml:space="preserve">zákazníky</w:t>
      </w:r>
      <w:r w:rsidDel="00000000" w:rsidR="00000000" w:rsidRPr="00000000">
        <w:rPr>
          <w:i w:val="1"/>
          <w:sz w:val="20"/>
          <w:szCs w:val="20"/>
          <w:rtl w:val="0"/>
        </w:rPr>
        <w:t xml:space="preserve"> více motivovat k tomu, aby o své spotřebě měli větší přehled. Proaktivní přístup ale také znamená podat pomocnou ruku těm, kteří se ve finančních potížích už nacházejí, například pomoci klientům s vyplňováním žádosti o příspěvek na bydlení nebo zavést sociální tarif pro zranitelné skupiny i bez kompenzace státu,” </w:t>
      </w:r>
      <w:r w:rsidDel="00000000" w:rsidR="00000000" w:rsidRPr="00000000">
        <w:rPr>
          <w:sz w:val="20"/>
          <w:szCs w:val="20"/>
          <w:rtl w:val="0"/>
        </w:rPr>
        <w:t xml:space="preserve">říká </w:t>
      </w:r>
      <w:r w:rsidDel="00000000" w:rsidR="00000000" w:rsidRPr="00000000">
        <w:rPr>
          <w:sz w:val="20"/>
          <w:szCs w:val="20"/>
          <w:rtl w:val="0"/>
        </w:rPr>
        <w:t xml:space="preserve">Gabriela Vondrušová, výkonná manažerka Institutu prevence a řešení předlužení.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Samotné domácnosti by se měly podle doporučení Institutu zaměřit na energetické úspory a nastavit si odpovídající zálohy jako prevenci velkého nedoplatku, pokud je to pro ně ještě finančně reálné. Domácnosti, pro které je zvýšení záloh krizové, mohou zažádat o příspěvek na bydlení, jehož vyřízení by se mělo brzy výrazněji zjednodušit.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„Až tři sta tisíc lidí, kteří mají nárok na tuto základní podporu při vysokých nákladech na bydlení, ji </w:t>
      </w:r>
      <w:r w:rsidDel="00000000" w:rsidR="00000000" w:rsidRPr="00000000">
        <w:rPr>
          <w:i w:val="1"/>
          <w:sz w:val="20"/>
          <w:szCs w:val="20"/>
          <w:rtl w:val="0"/>
        </w:rPr>
        <w:t xml:space="preserve">nevyužívá</w:t>
      </w:r>
      <w:r w:rsidDel="00000000" w:rsidR="00000000" w:rsidRPr="00000000">
        <w:rPr>
          <w:i w:val="1"/>
          <w:sz w:val="20"/>
          <w:szCs w:val="20"/>
          <w:rtl w:val="0"/>
        </w:rPr>
        <w:t xml:space="preserve">,”</w:t>
      </w:r>
      <w:r w:rsidDel="00000000" w:rsidR="00000000" w:rsidRPr="00000000">
        <w:rPr>
          <w:sz w:val="20"/>
          <w:szCs w:val="20"/>
          <w:rtl w:val="0"/>
        </w:rPr>
        <w:t xml:space="preserve"> apeluje Barbara Halířová, vedoucí dluhového poradenství Institutu. Domácnosti by si také měly pravidelně hlídat svou aktuální spotřebu a v případě problémů proaktivně komunikovat se svým dodavatelem energií. V případě většího nedoplatku požádat o rozložení do více splátek. Je třeba se ale zaměřit i na dlouhodobější řešení a usilovat o využití státních podpor pro přechod na obnovitelné zdroje, zateplení, efektivnější využití odpadní a dešťové vody, či výměnu elektrického vytápění za tepelné čerpadlo. Zejména u tzv. kotlíkových dotací je možné žádat až 95 procent z celkové ceny instalace a jsou tak dostupné prakticky každému.</w:t>
      </w:r>
    </w:p>
    <w:p w:rsidR="00000000" w:rsidDel="00000000" w:rsidP="00000000" w:rsidRDefault="00000000" w:rsidRPr="00000000" w14:paraId="0000000F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10">
      <w:pPr>
        <w:spacing w:after="120" w:before="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 prevence a řešení předlužení</w:t>
      </w:r>
      <w:r w:rsidDel="00000000" w:rsidR="00000000" w:rsidRPr="00000000">
        <w:rPr>
          <w:sz w:val="20"/>
          <w:szCs w:val="20"/>
          <w:rtl w:val="0"/>
        </w:rPr>
        <w:t xml:space="preserve"> je nezávislý think-tank, který se zaměřuje na problematiku zadluženosti domácností, exekucí a osobních bankrotů. Jeho cílem je kultivace českého systému vymáhání pohledávek a nastavení takových podmínek, které by zamezily nemravnému obchodu s dluhy. Poukazuje na problematické oblasti i problematické subjekty. Přináší podrobná data, výzkumy a analýzy. Spolupracuje se zaměstnavateli i dalšími organizacemi, které se této problematice dlouhodobě věnují. Institut byl založen v roce 2019.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www.institut-predluzeni.cz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pro média:</w:t>
      </w:r>
    </w:p>
    <w:p w:rsidR="00000000" w:rsidDel="00000000" w:rsidP="00000000" w:rsidRDefault="00000000" w:rsidRPr="00000000" w14:paraId="0000001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Filip Stowasser</w:t>
      </w:r>
    </w:p>
    <w:p w:rsidR="00000000" w:rsidDel="00000000" w:rsidP="00000000" w:rsidRDefault="00000000" w:rsidRPr="00000000" w14:paraId="0000001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IPŘP - tiskový servis</w:t>
      </w:r>
    </w:p>
    <w:p w:rsidR="00000000" w:rsidDel="00000000" w:rsidP="00000000" w:rsidRDefault="00000000" w:rsidRPr="00000000" w14:paraId="00000015">
      <w:pPr>
        <w:spacing w:after="0" w:lineRule="auto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filip@storyhunters.cz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777 258 802</w:t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12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rPr/>
    </w:pPr>
    <w:r w:rsidDel="00000000" w:rsidR="00000000" w:rsidRPr="00000000">
      <w:rPr>
        <w:rtl w:val="0"/>
      </w:rPr>
      <w:tab/>
      <w:tab/>
      <w:tab/>
      <w:t xml:space="preserve">   </w:t>
      <w:tab/>
      <w:t xml:space="preserve">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5495925</wp:posOffset>
          </wp:positionH>
          <wp:positionV relativeFrom="paragraph">
            <wp:posOffset>-247649</wp:posOffset>
          </wp:positionV>
          <wp:extent cx="709613" cy="428625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613" cy="428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-247649</wp:posOffset>
          </wp:positionV>
          <wp:extent cx="1411326" cy="428625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1326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76" w:lineRule="auto"/>
      <w:ind w:left="0" w:firstLine="0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Tisková zpráva</w:t>
    </w:r>
  </w:p>
  <w:p w:rsidR="00000000" w:rsidDel="00000000" w:rsidP="00000000" w:rsidRDefault="00000000" w:rsidRPr="00000000" w14:paraId="0000001A">
    <w:pPr>
      <w:spacing w:line="276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76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stitut-predluzeni.cz" TargetMode="External"/><Relationship Id="rId8" Type="http://schemas.openxmlformats.org/officeDocument/2006/relationships/hyperlink" Target="mailto:fili@storyhunters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9lmYacuduPKZad9wpdEVD+t/w==">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